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1"/>
        </w:numPr>
        <w:pBdr>
          <w:bottom w:val="single" w:sz="6" w:space="0" w:color="F1F1F5"/>
        </w:pBdr>
        <w:shd w:val="clear" w:color="auto" w:fill="FFFFFF"/>
        <w:spacing w:lineRule="auto" w:line="240" w:beforeAutospacing="1" w:afterAutospacing="1"/>
        <w:rPr>
          <w:rFonts w:ascii="Helvetica" w:hAnsi="Helvetica" w:eastAsia="Times New Roman" w:cs="Helvetica"/>
          <w:color w:val="1D2228"/>
          <w:kern w:val="0"/>
          <w:sz w:val="20"/>
          <w:szCs w:val="20"/>
          <w14:ligatures w14:val="none"/>
        </w:rPr>
      </w:pPr>
      <w:r>
        <w:rPr>
          <w:rFonts w:eastAsia="Times New Roman" w:cs="Helvetica" w:ascii="Helvetica" w:hAnsi="Helvetica"/>
          <w:color w:val="1D2228"/>
          <w:kern w:val="0"/>
          <w:sz w:val="20"/>
          <w:szCs w:val="20"/>
          <w14:ligatures w14:val="none"/>
        </w:rPr>
      </w:r>
    </w:p>
    <w:tbl>
      <w:tblPr>
        <w:tblW w:w="12905" w:type="dxa"/>
        <w:jc w:val="center"/>
        <w:tblInd w:w="0" w:type="dxa"/>
        <w:tblLayout w:type="fixed"/>
        <w:tblCellMar>
          <w:top w:w="0" w:type="dxa"/>
          <w:left w:w="0" w:type="dxa"/>
          <w:bottom w:w="0" w:type="dxa"/>
          <w:right w:w="0" w:type="dxa"/>
        </w:tblCellMar>
        <w:tblLook w:firstRow="1" w:noVBand="1" w:lastRow="0" w:firstColumn="1" w:lastColumn="0" w:noHBand="0" w:val="04a0"/>
      </w:tblPr>
      <w:tblGrid>
        <w:gridCol w:w="12905"/>
      </w:tblGrid>
      <w:tr>
        <w:trPr/>
        <w:tc>
          <w:tcPr>
            <w:tcW w:w="12905" w:type="dxa"/>
            <w:tcBorders>
              <w:top w:val="single" w:sz="48" w:space="0" w:color="F6F6F6"/>
              <w:bottom w:val="single" w:sz="48" w:space="0" w:color="F6F6F6"/>
            </w:tcBorders>
            <w:shd w:color="auto" w:fill="F6F6F6" w:val="clear"/>
          </w:tcPr>
          <w:tbl>
            <w:tblPr>
              <w:tblW w:w="8910" w:type="dxa"/>
              <w:jc w:val="center"/>
              <w:tblInd w:w="0" w:type="dxa"/>
              <w:tblLayout w:type="fixed"/>
              <w:tblCellMar>
                <w:top w:w="0" w:type="dxa"/>
                <w:left w:w="0" w:type="dxa"/>
                <w:bottom w:w="0" w:type="dxa"/>
                <w:right w:w="0" w:type="dxa"/>
              </w:tblCellMar>
              <w:tblLook w:firstRow="1" w:noVBand="1" w:lastRow="0" w:firstColumn="1" w:lastColumn="0" w:noHBand="0" w:val="04a0"/>
            </w:tblPr>
            <w:tblGrid>
              <w:gridCol w:w="8910"/>
            </w:tblGrid>
            <w:tr>
              <w:trPr/>
              <w:tc>
                <w:tcPr>
                  <w:tcW w:w="8910" w:type="dxa"/>
                  <w:tcBorders/>
                  <w:shd w:color="auto" w:fill="FFFFFF" w:val="clear"/>
                </w:tcPr>
                <w:tbl>
                  <w:tblPr>
                    <w:tblW w:w="5000" w:type="pct"/>
                    <w:jc w:val="center"/>
                    <w:tblInd w:w="0" w:type="dxa"/>
                    <w:tblLayout w:type="fixed"/>
                    <w:tblCellMar>
                      <w:top w:w="0" w:type="dxa"/>
                      <w:left w:w="0" w:type="dxa"/>
                      <w:bottom w:w="0" w:type="dxa"/>
                      <w:right w:w="0" w:type="dxa"/>
                    </w:tblCellMar>
                    <w:tblLook w:firstRow="1" w:noVBand="1" w:lastRow="0" w:firstColumn="1" w:lastColumn="0" w:noHBand="0" w:val="04a0"/>
                  </w:tblPr>
                  <w:tblGrid>
                    <w:gridCol w:w="8910"/>
                  </w:tblGrid>
                  <w:tr>
                    <w:trPr/>
                    <w:tc>
                      <w:tcPr>
                        <w:tcW w:w="8910" w:type="dxa"/>
                        <w:tcBorders/>
                        <w:vAlign w:val="center"/>
                      </w:tcPr>
                      <w:tbl>
                        <w:tblPr>
                          <w:tblW w:w="5000" w:type="pct"/>
                          <w:jc w:val="center"/>
                          <w:tblInd w:w="0" w:type="dxa"/>
                          <w:tblLayout w:type="fixed"/>
                          <w:tblCellMar>
                            <w:top w:w="825" w:type="dxa"/>
                            <w:left w:w="990" w:type="dxa"/>
                            <w:bottom w:w="495" w:type="dxa"/>
                            <w:right w:w="990" w:type="dxa"/>
                          </w:tblCellMar>
                          <w:tblLook w:firstRow="1" w:noVBand="1" w:lastRow="0" w:firstColumn="1" w:lastColumn="0" w:noHBand="0" w:val="04a0"/>
                        </w:tblPr>
                        <w:tblGrid>
                          <w:gridCol w:w="8910"/>
                        </w:tblGrid>
                        <w:tr>
                          <w:trPr/>
                          <w:tc>
                            <w:tcPr>
                              <w:tcW w:w="8910" w:type="dxa"/>
                              <w:tcBorders/>
                              <w:shd w:color="auto" w:fill="auto" w:val="clear"/>
                              <w:vAlign w:val="center"/>
                            </w:tcPr>
                            <w:p>
                              <w:pPr>
                                <w:pStyle w:val="Normal"/>
                                <w:spacing w:lineRule="auto" w:line="240" w:before="0" w:after="0"/>
                                <w:jc w:val="center"/>
                                <w:rPr>
                                  <w:rFonts w:ascii="Times New Roman" w:hAnsi="Times New Roman" w:eastAsia="Times New Roman" w:cs="Times New Roman"/>
                                  <w:kern w:val="0"/>
                                  <w:sz w:val="24"/>
                                  <w:szCs w:val="24"/>
                                  <w14:ligatures w14:val="none"/>
                                </w:rPr>
                              </w:pPr>
                              <w:r>
                                <w:rPr/>
                                <w:drawing>
                                  <wp:inline distT="0" distB="0" distL="0" distR="0">
                                    <wp:extent cx="3505200" cy="1051560"/>
                                    <wp:effectExtent l="0" t="0" r="0" b="0"/>
                                    <wp:docPr id="1" name="Picture 5" descr="OCCSEA - Orange County Enrolled Agent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OCCSEA - Orange County Enrolled Agents">
                                              <a:hlinkClick r:id="rId3"/>
                                            </pic:cNvPr>
                                            <pic:cNvPicPr>
                                              <a:picLocks noChangeAspect="1" noChangeArrowheads="1"/>
                                            </pic:cNvPicPr>
                                          </pic:nvPicPr>
                                          <pic:blipFill>
                                            <a:blip r:embed="rId2"/>
                                            <a:stretch>
                                              <a:fillRect/>
                                            </a:stretch>
                                          </pic:blipFill>
                                          <pic:spPr bwMode="auto">
                                            <a:xfrm>
                                              <a:off x="0" y="0"/>
                                              <a:ext cx="3505200" cy="1051560"/>
                                            </a:xfrm>
                                            <a:prstGeom prst="rect">
                                              <a:avLst/>
                                            </a:prstGeom>
                                          </pic:spPr>
                                        </pic:pic>
                                      </a:graphicData>
                                    </a:graphic>
                                  </wp:inline>
                                </w:drawing>
                              </w:r>
                            </w:p>
                          </w:tc>
                        </w:tr>
                      </w:tbl>
                      <w:p>
                        <w:pPr>
                          <w:pStyle w:val="Normal"/>
                          <w:spacing w:lineRule="auto" w:line="240" w:before="0" w:after="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tc>
                  </w:tr>
                </w:tbl>
                <w:p>
                  <w:pPr>
                    <w:pStyle w:val="Normal"/>
                    <w:spacing w:lineRule="auto" w:line="240" w:before="0" w:after="0"/>
                    <w:jc w:val="center"/>
                    <w:rPr>
                      <w:rFonts w:ascii="Times New Roman" w:hAnsi="Times New Roman" w:eastAsia="Times New Roman" w:cs="Times New Roman"/>
                      <w:vanish/>
                      <w:kern w:val="0"/>
                      <w:sz w:val="24"/>
                      <w:szCs w:val="24"/>
                      <w14:ligatures w14:val="none"/>
                    </w:rPr>
                  </w:pPr>
                  <w:r>
                    <w:rPr>
                      <w:rFonts w:eastAsia="Times New Roman" w:cs="Times New Roman" w:ascii="Times New Roman" w:hAnsi="Times New Roman"/>
                      <w:vanish/>
                      <w:kern w:val="0"/>
                      <w:sz w:val="24"/>
                      <w:szCs w:val="24"/>
                      <w14:ligatures w14:val="none"/>
                    </w:rPr>
                  </w:r>
                </w:p>
                <w:tbl>
                  <w:tblPr>
                    <w:tblW w:w="5000" w:type="pct"/>
                    <w:jc w:val="center"/>
                    <w:tblInd w:w="0" w:type="dxa"/>
                    <w:tblLayout w:type="fixed"/>
                    <w:tblCellMar>
                      <w:top w:w="0" w:type="dxa"/>
                      <w:left w:w="0" w:type="dxa"/>
                      <w:bottom w:w="0" w:type="dxa"/>
                      <w:right w:w="0" w:type="dxa"/>
                    </w:tblCellMar>
                    <w:tblLook w:firstRow="1" w:noVBand="1" w:lastRow="0" w:firstColumn="1" w:lastColumn="0" w:noHBand="0" w:val="04a0"/>
                  </w:tblPr>
                  <w:tblGrid>
                    <w:gridCol w:w="8910"/>
                  </w:tblGrid>
                  <w:tr>
                    <w:trPr/>
                    <w:tc>
                      <w:tcPr>
                        <w:tcW w:w="8910" w:type="dxa"/>
                        <w:tcBorders/>
                      </w:tcPr>
                      <w:tbl>
                        <w:tblPr>
                          <w:tblW w:w="5000" w:type="pct"/>
                          <w:jc w:val="center"/>
                          <w:tblInd w:w="0" w:type="dxa"/>
                          <w:tblLayout w:type="fixed"/>
                          <w:tblCellMar>
                            <w:top w:w="600" w:type="dxa"/>
                            <w:left w:w="990" w:type="dxa"/>
                            <w:bottom w:w="15" w:type="dxa"/>
                            <w:right w:w="990" w:type="dxa"/>
                          </w:tblCellMar>
                          <w:tblLook w:firstRow="1" w:noVBand="1" w:lastRow="0" w:firstColumn="1" w:lastColumn="0" w:noHBand="0" w:val="04a0"/>
                        </w:tblPr>
                        <w:tblGrid>
                          <w:gridCol w:w="8910"/>
                        </w:tblGrid>
                        <w:tr>
                          <w:trPr/>
                          <w:tc>
                            <w:tcPr>
                              <w:tcW w:w="8910" w:type="dxa"/>
                              <w:tcBorders/>
                              <w:shd w:color="auto" w:fill="auto" w:val="clear"/>
                            </w:tcPr>
                            <w:p>
                              <w:pPr>
                                <w:pStyle w:val="Normal"/>
                                <w:numPr>
                                  <w:ilvl w:val="0"/>
                                  <w:numId w:val="0"/>
                                </w:numPr>
                                <w:spacing w:lineRule="atLeast" w:line="288" w:before="0" w:after="510"/>
                                <w:jc w:val="center"/>
                                <w:outlineLvl w:val="0"/>
                                <w:rPr>
                                  <w:rFonts w:ascii="Helvetica" w:hAnsi="Helvetica" w:eastAsia="Times New Roman" w:cs="Helvetica"/>
                                  <w:color w:val="444B50"/>
                                  <w:spacing w:val="-2"/>
                                  <w:kern w:val="2"/>
                                  <w:sz w:val="59"/>
                                  <w:szCs w:val="59"/>
                                  <w14:ligatures w14:val="none"/>
                                </w:rPr>
                              </w:pPr>
                              <w:r>
                                <w:rPr>
                                  <w:rFonts w:eastAsia="Times New Roman" w:cs="Helvetica" w:ascii="Helvetica" w:hAnsi="Helvetica"/>
                                  <w:color w:val="444B50"/>
                                  <w:spacing w:val="-2"/>
                                  <w:kern w:val="2"/>
                                  <w:sz w:val="59"/>
                                  <w:szCs w:val="59"/>
                                  <w14:ligatures w14:val="none"/>
                                </w:rPr>
                                <w:t>Safeguarding Your Taxpayer Data</w:t>
                              </w:r>
                            </w:p>
                          </w:tc>
                        </w:tr>
                        <w:tr>
                          <w:trPr/>
                          <w:tc>
                            <w:tcPr>
                              <w:tcW w:w="8910" w:type="dxa"/>
                              <w:tcBorders/>
                              <w:shd w:color="auto" w:fill="518C9A" w:val="clear"/>
                              <w:tcMar>
                                <w:top w:w="420" w:type="dxa"/>
                                <w:bottom w:w="330" w:type="dxa"/>
                              </w:tcMar>
                            </w:tcPr>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Tuesday, May 21 5 PM - 7:30 PM</w:t>
                              </w:r>
                            </w:p>
                            <w:p>
                              <w:pPr>
                                <w:pStyle w:val="Normal"/>
                                <w:spacing w:lineRule="atLeast" w:line="388" w:before="0" w:after="300"/>
                                <w:jc w:val="center"/>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Welcome back after the tax season education event!</w:t>
                              </w:r>
                            </w:p>
                            <w:p>
                              <w:pPr>
                                <w:pStyle w:val="Normal"/>
                                <w:spacing w:lineRule="atLeast" w:line="388" w:before="0" w:after="300"/>
                                <w:jc w:val="both"/>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Join the Orange County Chapter of CSEA Tuesday, May 21 with Ed Leard, President of Round Brix. He will review IRS publication 4557, Safeguarding your client's data. He will review the safety guidelines on basic security, being able to recognize the signs of theft, and how to handle data loss under the FTC.</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Don’t forget to register for this class. As mentioned in February, attendees for February and May are eligible for a $500 scholarship for registering for Supers and attending in person or by webinar.</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Learning Objectives will be:</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1. Understanding basic security steps and how to implement</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2. Recognize data theft and how to report to IRS</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3. Respond and recover from these issues</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4. Understand and comply with FTC safeguard rules</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Member: $64 | Non-Member: $74 until May 19, 2024</w:t>
                                <w:br/>
                                <w:t>Member: $74 | Non-Member: $84 after May 19 or day of the event.</w:t>
                              </w:r>
                            </w:p>
                            <w:p>
                              <w:pPr>
                                <w:pStyle w:val="Normal"/>
                                <w:spacing w:lineRule="atLeast" w:line="388" w:before="0" w:after="30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IRS program number: </w:t>
                              </w:r>
                              <w:r>
                                <w:rPr>
                                  <w:rFonts w:eastAsia="Times New Roman" w:cs="Helvetica" w:ascii="Helvetica" w:hAnsi="Helvetica"/>
                                  <w:b/>
                                  <w:bCs/>
                                  <w:color w:val="FFFFFF"/>
                                  <w:kern w:val="0"/>
                                  <w:sz w:val="24"/>
                                  <w:szCs w:val="24"/>
                                  <w14:ligatures w14:val="none"/>
                                </w:rPr>
                                <w:t>IRS: WZA09-T-03471-24-I; 2 hours Fed Tax Topics</w:t>
                              </w:r>
                            </w:p>
                            <w:p>
                              <w:pPr>
                                <w:pStyle w:val="Normal"/>
                                <w:spacing w:lineRule="atLeast" w:line="388" w:before="0" w:after="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CTEC program number: </w:t>
                              </w:r>
                              <w:r>
                                <w:rPr>
                                  <w:rFonts w:eastAsia="Times New Roman" w:cs="Helvetica" w:ascii="Helvetica" w:hAnsi="Helvetica"/>
                                  <w:b/>
                                  <w:bCs/>
                                  <w:color w:val="FFFFFF"/>
                                  <w:kern w:val="0"/>
                                  <w:sz w:val="24"/>
                                  <w:szCs w:val="24"/>
                                  <w14:ligatures w14:val="none"/>
                                </w:rPr>
                                <w:t>CTEC: 1001-CE-9952; 2 hours Fed Tax Topics</w:t>
                              </w:r>
                            </w:p>
                          </w:tc>
                        </w:tr>
                      </w:tbl>
                      <w:p>
                        <w:pPr>
                          <w:pStyle w:val="Normal"/>
                          <w:spacing w:lineRule="auto" w:line="240" w:before="0" w:after="0"/>
                          <w:jc w:val="center"/>
                          <w:rPr>
                            <w:rFonts w:ascii="Times New Roman" w:hAnsi="Times New Roman" w:eastAsia="Times New Roman" w:cs="Times New Roman"/>
                            <w:vanish/>
                            <w:kern w:val="0"/>
                            <w:sz w:val="24"/>
                            <w:szCs w:val="24"/>
                            <w14:ligatures w14:val="none"/>
                          </w:rPr>
                        </w:pPr>
                        <w:r>
                          <w:rPr>
                            <w:rFonts w:eastAsia="Times New Roman" w:cs="Times New Roman" w:ascii="Times New Roman" w:hAnsi="Times New Roman"/>
                            <w:vanish/>
                            <w:kern w:val="0"/>
                            <w:sz w:val="24"/>
                            <w:szCs w:val="24"/>
                            <w14:ligatures w14:val="none"/>
                          </w:rPr>
                        </w:r>
                      </w:p>
                      <w:tbl>
                        <w:tblPr>
                          <w:tblW w:w="5000" w:type="pct"/>
                          <w:jc w:val="center"/>
                          <w:tblInd w:w="0" w:type="dxa"/>
                          <w:tblLayout w:type="fixed"/>
                          <w:tblCellMar>
                            <w:top w:w="165" w:type="dxa"/>
                            <w:left w:w="990" w:type="dxa"/>
                            <w:bottom w:w="345" w:type="dxa"/>
                            <w:right w:w="990" w:type="dxa"/>
                          </w:tblCellMar>
                          <w:tblLook w:firstRow="1" w:noVBand="1" w:lastRow="0" w:firstColumn="1" w:lastColumn="0" w:noHBand="0" w:val="04a0"/>
                        </w:tblPr>
                        <w:tblGrid>
                          <w:gridCol w:w="8910"/>
                        </w:tblGrid>
                        <w:tr>
                          <w:trPr/>
                          <w:tc>
                            <w:tcPr>
                              <w:tcW w:w="8910" w:type="dxa"/>
                              <w:tcBorders/>
                              <w:shd w:color="auto" w:fill="F77760" w:val="clear"/>
                              <w:vAlign w:val="center"/>
                            </w:tcPr>
                            <w:p>
                              <w:pPr>
                                <w:pStyle w:val="Normal"/>
                                <w:spacing w:lineRule="auto" w:line="240" w:before="0" w:after="0"/>
                                <w:jc w:val="center"/>
                                <w:rPr>
                                  <w:rFonts w:ascii="Times New Roman" w:hAnsi="Times New Roman" w:eastAsia="Times New Roman" w:cs="Times New Roman"/>
                                  <w:kern w:val="0"/>
                                  <w:sz w:val="24"/>
                                  <w:szCs w:val="24"/>
                                  <w14:ligatures w14:val="none"/>
                                </w:rPr>
                              </w:pPr>
                              <w:hyperlink r:id="rId4" w:tgtFrame="_blank">
                                <w:r>
                                  <w:rPr>
                                    <w:rFonts w:eastAsia="Times New Roman" w:cs="Times New Roman" w:ascii="Times New Roman" w:hAnsi="Times New Roman"/>
                                    <w:i/>
                                    <w:iCs/>
                                    <w:color w:val="FFFFFF"/>
                                    <w:spacing w:val="449"/>
                                    <w:kern w:val="0"/>
                                    <w:sz w:val="24"/>
                                    <w:szCs w:val="24"/>
                                    <w:bdr w:val="single" w:sz="6" w:space="12" w:color="FFFFFF"/>
                                    <w:shd w:fill="FFFFFF" w:val="clear"/>
                                    <w14:ligatures w14:val="none"/>
                                  </w:rPr>
                                  <w:t> </w:t>
                                </w:r>
                                <w:r>
                                  <w:rPr>
                                    <w:rFonts w:eastAsia="Times New Roman" w:cs="Helvetica" w:ascii="Helvetica" w:hAnsi="Helvetica"/>
                                    <w:b/>
                                    <w:bCs/>
                                    <w:color w:val="F77760"/>
                                    <w:kern w:val="0"/>
                                    <w:sz w:val="17"/>
                                    <w:szCs w:val="17"/>
                                    <w:bdr w:val="single" w:sz="6" w:space="12" w:color="FFFFFF"/>
                                    <w:shd w:fill="FFFFFF" w:val="clear"/>
                                    <w14:ligatures w14:val="none"/>
                                  </w:rPr>
                                  <w:t>Register Now</w:t>
                                </w:r>
                                <w:r>
                                  <w:rPr>
                                    <w:rFonts w:eastAsia="Times New Roman" w:cs="Times New Roman" w:ascii="Times New Roman" w:hAnsi="Times New Roman"/>
                                    <w:i/>
                                    <w:iCs/>
                                    <w:color w:val="FFFFFF"/>
                                    <w:spacing w:val="449"/>
                                    <w:kern w:val="0"/>
                                    <w:sz w:val="24"/>
                                    <w:szCs w:val="24"/>
                                    <w:bdr w:val="single" w:sz="6" w:space="12" w:color="FFFFFF"/>
                                    <w:shd w:fill="FFFFFF" w:val="clear"/>
                                    <w14:ligatures w14:val="none"/>
                                  </w:rPr>
                                  <w:t> </w:t>
                                </w:r>
                              </w:hyperlink>
                            </w:p>
                          </w:tc>
                        </w:tr>
                        <w:tr>
                          <w:trPr/>
                          <w:tc>
                            <w:tcPr>
                              <w:tcW w:w="8910" w:type="dxa"/>
                              <w:tcBorders/>
                              <w:shd w:color="auto" w:fill="518C9A" w:val="clear"/>
                              <w:tcMar>
                                <w:bottom w:w="165" w:type="dxa"/>
                              </w:tcMar>
                            </w:tcPr>
                            <w:p>
                              <w:pPr>
                                <w:pStyle w:val="Normal"/>
                                <w:spacing w:lineRule="atLeast" w:line="388" w:before="0" w:after="0"/>
                                <w:rPr>
                                  <w:rFonts w:ascii="Helvetica" w:hAnsi="Helvetica" w:eastAsia="Times New Roman" w:cs="Helvetica"/>
                                  <w:color w:val="FFFFFF"/>
                                  <w:kern w:val="0"/>
                                  <w:sz w:val="24"/>
                                  <w:szCs w:val="24"/>
                                  <w14:ligatures w14:val="none"/>
                                </w:rPr>
                              </w:pPr>
                              <w:r>
                                <w:rPr>
                                  <w:rFonts w:eastAsia="Times New Roman" w:cs="Helvetica" w:ascii="Helvetica" w:hAnsi="Helvetica"/>
                                  <w:color w:val="FFFFFF"/>
                                  <w:kern w:val="0"/>
                                  <w:sz w:val="24"/>
                                  <w:szCs w:val="24"/>
                                  <w14:ligatures w14:val="none"/>
                                </w:rPr>
                                <w:t>Ed Leard, has been in IT since 1982. He started in the aircraft industry for 8 years, then into factory floor automation for 5 years and Yamaha for 5+ years. He became a business owner in 1999 and is the president of Round Brix. He is a graduate of Saddleback and UC Davis. He is an army veteran, has been married for 25 years, and father of 4 kids.</w:t>
                              </w:r>
                            </w:p>
                          </w:tc>
                        </w:tr>
                      </w:tbl>
                      <w:p>
                        <w:pPr>
                          <w:pStyle w:val="Normal"/>
                          <w:spacing w:lineRule="auto" w:line="240" w:before="0" w:after="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tc>
                  </w:tr>
                </w:tbl>
                <w:p>
                  <w:pPr>
                    <w:pStyle w:val="Normal"/>
                    <w:spacing w:lineRule="auto" w:line="240" w:before="0" w:after="0"/>
                    <w:jc w:val="center"/>
                    <w:rPr>
                      <w:rFonts w:ascii="Times New Roman" w:hAnsi="Times New Roman" w:eastAsia="Times New Roman" w:cs="Times New Roman"/>
                      <w:vanish/>
                      <w:kern w:val="0"/>
                      <w:sz w:val="24"/>
                      <w:szCs w:val="24"/>
                      <w14:ligatures w14:val="none"/>
                    </w:rPr>
                  </w:pPr>
                  <w:r>
                    <w:rPr>
                      <w:rFonts w:eastAsia="Times New Roman" w:cs="Times New Roman" w:ascii="Times New Roman" w:hAnsi="Times New Roman"/>
                      <w:vanish/>
                      <w:kern w:val="0"/>
                      <w:sz w:val="24"/>
                      <w:szCs w:val="24"/>
                      <w14:ligatures w14:val="none"/>
                    </w:rPr>
                  </w:r>
                </w:p>
                <w:tbl>
                  <w:tblPr>
                    <w:tblW w:w="5000" w:type="pct"/>
                    <w:jc w:val="center"/>
                    <w:tblInd w:w="0" w:type="dxa"/>
                    <w:tblLayout w:type="fixed"/>
                    <w:tblCellMar>
                      <w:top w:w="0" w:type="dxa"/>
                      <w:left w:w="0" w:type="dxa"/>
                      <w:bottom w:w="0" w:type="dxa"/>
                      <w:right w:w="0" w:type="dxa"/>
                    </w:tblCellMar>
                    <w:tblLook w:firstRow="1" w:noVBand="1" w:lastRow="0" w:firstColumn="1" w:lastColumn="0" w:noHBand="0" w:val="04a0"/>
                  </w:tblPr>
                  <w:tblGrid>
                    <w:gridCol w:w="8910"/>
                  </w:tblGrid>
                  <w:tr>
                    <w:trPr/>
                    <w:tc>
                      <w:tcPr>
                        <w:tcW w:w="8910" w:type="dxa"/>
                        <w:tcBorders/>
                      </w:tcPr>
                      <w:tbl>
                        <w:tblPr>
                          <w:tblW w:w="5000" w:type="pct"/>
                          <w:jc w:val="center"/>
                          <w:tblInd w:w="0" w:type="dxa"/>
                          <w:tblLayout w:type="fixed"/>
                          <w:tblCellMar>
                            <w:top w:w="495" w:type="dxa"/>
                            <w:left w:w="990" w:type="dxa"/>
                            <w:bottom w:w="165" w:type="dxa"/>
                            <w:right w:w="990" w:type="dxa"/>
                          </w:tblCellMar>
                          <w:tblLook w:firstRow="1" w:noVBand="1" w:lastRow="0" w:firstColumn="1" w:lastColumn="0" w:noHBand="0" w:val="04a0"/>
                        </w:tblPr>
                        <w:tblGrid>
                          <w:gridCol w:w="8910"/>
                        </w:tblGrid>
                        <w:tr>
                          <w:trPr/>
                          <w:tc>
                            <w:tcPr>
                              <w:tcW w:w="8910" w:type="dxa"/>
                              <w:tcBorders/>
                              <w:shd w:color="auto" w:fill="F6F6F6" w:val="clear"/>
                            </w:tcPr>
                            <w:p>
                              <w:pPr>
                                <w:pStyle w:val="Normal"/>
                                <w:spacing w:lineRule="auto" w:line="240" w:before="0" w:after="0"/>
                                <w:jc w:val="center"/>
                                <w:rPr>
                                  <w:rFonts w:ascii="Times New Roman" w:hAnsi="Times New Roman" w:eastAsia="Times New Roman" w:cs="Times New Roman"/>
                                  <w:kern w:val="0"/>
                                  <w:sz w:val="24"/>
                                  <w:szCs w:val="24"/>
                                  <w14:ligatures w14:val="none"/>
                                </w:rPr>
                              </w:pPr>
                              <w:r>
                                <w:rPr/>
                                <w:drawing>
                                  <wp:inline distT="0" distB="0" distL="0" distR="0">
                                    <wp:extent cx="693420" cy="205740"/>
                                    <wp:effectExtent l="0" t="0" r="0" b="0"/>
                                    <wp:docPr id="2" name="Picture 4" descr="OCCSEA - Orange County Enrolled Ag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OCCSEA - Orange County Enrolled Agents">
                                              <a:hlinkClick r:id="rId6"/>
                                            </pic:cNvPr>
                                            <pic:cNvPicPr>
                                              <a:picLocks noChangeAspect="1" noChangeArrowheads="1"/>
                                            </pic:cNvPicPr>
                                          </pic:nvPicPr>
                                          <pic:blipFill>
                                            <a:blip r:embed="rId5"/>
                                            <a:stretch>
                                              <a:fillRect/>
                                            </a:stretch>
                                          </pic:blipFill>
                                          <pic:spPr bwMode="auto">
                                            <a:xfrm>
                                              <a:off x="0" y="0"/>
                                              <a:ext cx="693420" cy="205740"/>
                                            </a:xfrm>
                                            <a:prstGeom prst="rect">
                                              <a:avLst/>
                                            </a:prstGeom>
                                          </pic:spPr>
                                        </pic:pic>
                                      </a:graphicData>
                                    </a:graphic>
                                  </wp:inline>
                                </w:drawing>
                              </w:r>
                            </w:p>
                            <w:p>
                              <w:pPr>
                                <w:pStyle w:val="Normal"/>
                                <w:spacing w:lineRule="atLeast" w:line="388" w:before="0" w:after="206"/>
                                <w:jc w:val="center"/>
                                <w:rPr>
                                  <w:rFonts w:ascii="Helvetica" w:hAnsi="Helvetica" w:eastAsia="Times New Roman" w:cs="Helvetica"/>
                                  <w:color w:val="444B50"/>
                                  <w:kern w:val="0"/>
                                  <w:sz w:val="17"/>
                                  <w:szCs w:val="17"/>
                                  <w14:ligatures w14:val="none"/>
                                </w:rPr>
                              </w:pPr>
                              <w:r>
                                <w:rPr>
                                  <w:rFonts w:eastAsia="Times New Roman" w:cs="Helvetica" w:ascii="Helvetica" w:hAnsi="Helvetica"/>
                                  <w:color w:val="444B50"/>
                                  <w:kern w:val="0"/>
                                  <w:sz w:val="17"/>
                                  <w:szCs w:val="17"/>
                                  <w14:ligatures w14:val="none"/>
                                </w:rPr>
                                <w:t>OCCSEA, 31726 Rancho Viejo St Ste 215, San Juan Capistrano, United States</w:t>
                              </w:r>
                            </w:p>
                            <w:p>
                              <w:pPr>
                                <w:pStyle w:val="Normal"/>
                                <w:spacing w:lineRule="atLeast" w:line="388" w:before="0" w:after="206"/>
                                <w:jc w:val="center"/>
                                <w:rPr>
                                  <w:rFonts w:ascii="Helvetica" w:hAnsi="Helvetica" w:eastAsia="Times New Roman" w:cs="Helvetica"/>
                                  <w:color w:val="313131"/>
                                  <w:kern w:val="0"/>
                                  <w:sz w:val="17"/>
                                  <w:szCs w:val="17"/>
                                  <w14:ligatures w14:val="none"/>
                                </w:rPr>
                              </w:pPr>
                              <w:r>
                                <w:rPr>
                                  <w:rFonts w:eastAsia="Times New Roman" w:cs="Helvetica" w:ascii="Helvetica" w:hAnsi="Helvetica"/>
                                  <w:color w:val="313131"/>
                                  <w:kern w:val="0"/>
                                  <w:sz w:val="17"/>
                                  <w:szCs w:val="17"/>
                                  <w14:ligatures w14:val="none"/>
                                </w:rPr>
                                <w:t>Powered by </w:t>
                              </w:r>
                              <w:hyperlink r:id="rId7" w:tgtFrame="_blank">
                                <w:r>
                                  <w:rPr>
                                    <w:rFonts w:eastAsia="Times New Roman" w:cs="Helvetica" w:ascii="Helvetica" w:hAnsi="Helvetica"/>
                                    <w:color w:val="313131"/>
                                    <w:kern w:val="0"/>
                                    <w:sz w:val="17"/>
                                    <w:szCs w:val="17"/>
                                    <w:u w:val="single"/>
                                    <w14:ligatures w14:val="none"/>
                                  </w:rPr>
                                  <w:t>Squarespace</w:t>
                                </w:r>
                              </w:hyperlink>
                            </w:p>
                            <w:p>
                              <w:pPr>
                                <w:pStyle w:val="Normal"/>
                                <w:spacing w:lineRule="atLeast" w:line="388" w:before="0" w:after="0"/>
                                <w:jc w:val="center"/>
                                <w:rPr>
                                  <w:rFonts w:ascii="Helvetica" w:hAnsi="Helvetica" w:eastAsia="Times New Roman" w:cs="Helvetica"/>
                                  <w:color w:val="313131"/>
                                  <w:kern w:val="0"/>
                                  <w:sz w:val="17"/>
                                  <w:szCs w:val="17"/>
                                  <w14:ligatures w14:val="none"/>
                                </w:rPr>
                              </w:pPr>
                              <w:hyperlink r:id="rId8" w:tgtFrame="_blank">
                                <w:r>
                                  <w:rPr>
                                    <w:rFonts w:eastAsia="Times New Roman" w:cs="Helvetica" w:ascii="Helvetica" w:hAnsi="Helvetica"/>
                                    <w:color w:val="313131"/>
                                    <w:kern w:val="0"/>
                                    <w:sz w:val="17"/>
                                    <w:szCs w:val="17"/>
                                    <w:u w:val="single"/>
                                    <w14:ligatures w14:val="none"/>
                                  </w:rPr>
                                  <w:t>Unsubscribe</w:t>
                                </w:r>
                              </w:hyperlink>
                            </w:p>
                          </w:tc>
                        </w:tr>
                      </w:tbl>
                      <w:p>
                        <w:pPr>
                          <w:pStyle w:val="Normal"/>
                          <w:spacing w:lineRule="auto" w:line="240" w:before="0" w:after="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tc>
                  </w:tr>
                </w:tbl>
                <w:p>
                  <w:pPr>
                    <w:pStyle w:val="Normal"/>
                    <w:spacing w:lineRule="auto" w:line="240" w:before="0" w:after="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tc>
            </w:tr>
          </w:tbl>
          <w:p>
            <w:pPr>
              <w:pStyle w:val="Normal"/>
              <w:spacing w:lineRule="auto" w:line="240" w:before="0" w:after="0"/>
              <w:jc w:val="center"/>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tc>
      </w:tr>
    </w:tbl>
    <w:p>
      <w:pPr>
        <w:pStyle w:val="Normal"/>
        <w:pBdr>
          <w:bottom w:val="single" w:sz="6" w:space="0" w:color="F1F1F5"/>
        </w:pBdr>
        <w:shd w:val="clear" w:color="auto" w:fill="FFFFFF"/>
        <w:spacing w:lineRule="auto" w:line="240" w:beforeAutospacing="1" w:after="0"/>
        <w:rPr>
          <w:rFonts w:ascii="Helvetica" w:hAnsi="Helvetica" w:eastAsia="Times New Roman" w:cs="Helvetica"/>
          <w:color w:val="1D2228"/>
          <w:kern w:val="0"/>
          <w:sz w:val="20"/>
          <w:szCs w:val="20"/>
          <w14:ligatures w14:val="none"/>
        </w:rPr>
      </w:pPr>
      <w:r>
        <w:rPr/>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ngage.squarespace-mail.com/r?m=662a8a2077574541b25b319d&amp;u=https%3A%2F%2Feaoc.org%2F%3Fss_source%3Dsscampaigns%26ss_campaign_id%3D662a813c52887e4fbb8bc040%26ss_email_id%3D662a8a2077574541b25b319d%26ss_campaign_name%3DOCCSEA%2BEducation%2BEvent%2BMay%2B21%2B-%2BSafeguarding%2BYour%2BTaxpayer%2BData%26ss_campaign_sent_date%3D2024-04-25T16%253A51%253A57Z&amp;w=5e3b3924295ed06bb8e881b3&amp;c=b_662a813c52887e4fbb8bc040&amp;l=en-US&amp;s=X8xo2_KHMI52wnGb6NE8pdze8Nc%3D" TargetMode="External"/><Relationship Id="rId4" Type="http://schemas.openxmlformats.org/officeDocument/2006/relationships/hyperlink" Target="https://engage.squarespace-mail.com/r?m=662a8a2077574541b25b319d&amp;u=https%3A%2F%2Fwww.csea.org%2FCSEA%2FThrive%2FLearning_Hub%2FLive_Education.aspx&amp;w=5e3b3924295ed06bb8e881b3&amp;c=b_662a813c52887e4fbb8bc040&amp;l=en-US&amp;s=dVdk30tYF_3NqzPBgiSPTLHNpeU%3D" TargetMode="External"/><Relationship Id="rId5" Type="http://schemas.openxmlformats.org/officeDocument/2006/relationships/image" Target="media/image2.png"/><Relationship Id="rId6" Type="http://schemas.openxmlformats.org/officeDocument/2006/relationships/hyperlink" Target="https://engage.squarespace-mail.com/r?m=662a8a2077574541b25b319d&amp;u=https%3A%2F%2Feaoc.org%2F%3Fss_source%3Dsscampaigns%26ss_campaign_id%3D662a813c52887e4fbb8bc040%26ss_email_id%3D662a8a2077574541b25b319d%26ss_campaign_name%3DOCCSEA%2BEducation%2BEvent%2BMay%2B21%2B-%2BSafeguarding%2BYour%2BTaxpayer%2BData%26ss_campaign_sent_date%3D2024-04-25T16%253A51%253A57Z&amp;w=5e3b3924295ed06bb8e881b3&amp;c=b_662a813c52887e4fbb8bc040&amp;l=en-US&amp;s=X8xo2_KHMI52wnGb6NE8pdze8Nc%3D" TargetMode="External"/><Relationship Id="rId7" Type="http://schemas.openxmlformats.org/officeDocument/2006/relationships/hyperlink" Target="https://engage.squarespace-mail.com/r?m=662a8a2077574541b25b319d&amp;u=https%3A%2F%2Fwww.squarespace.com%3Fchannel%3Dproduct_refer%26subchannel%3Dcustomer%26source%3Demail_campaigns_button%26campaign%3D5e3b3924295ed06bb8e881b3%26utm_medium%3Dproduct_refer%26utm_source%3Demail_campaigns_button%26ss_source%3Dsscampaigns%26ss_campaign_id%3D662a813c52887e4fbb8bc040%26ss_email_id%3D662a8a2077574541b25b319d%26ss_campaign_name%3DOCCSEA%2BEducation%2BEvent%2BMay%2B21%2B-%2BSafeguarding%2BYour%2BTaxpayer%2BData%26ss_campaign_sent_date%3D2024-04-25T16%253A51%253A57Z&amp;w=5e3b3924295ed06bb8e881b3&amp;c=b_662a813c52887e4fbb8bc040&amp;l=en-US&amp;s=UOiio72evE5155zvV8gIXM2rM4k%3D" TargetMode="External"/><Relationship Id="rId8" Type="http://schemas.openxmlformats.org/officeDocument/2006/relationships/hyperlink" Target="https://engage.squarespace-mail.com/r?m=662a8a2077574541b25b319d&amp;u=https%3A%2F%2Fcampaign-preferences.com%2Funsubscribe%2FzD7u4WWKN5e4sOUaqe4BoY0a2xFikxH-x9ihjx8Ej0AnMDfk13XZMRUBd6l-oRGzAZWki0vwAPznvmP1eSM_tS10_G2hgr0BY6i8uXh_dN3rFnjBdpa76dBeLt3ZfTDDotVOjKZhfQxUC5T3YmfmFQhdtCKQpkult1LYyLpJi262Z6EZpXIBbvxd3J2DNsLcnlVrdnAA3qb3jpwGpn-RftesxNHZFWbjsP_ltZ-sX87Mq_2u2i6UfC-oGxZiK8W5RvuilOiHXvEZfg1SmLz0XNcv7Mz5eT4HWPuRvTaLN5mY57ESILl67GzPXWL8Y0rhFGQS2XV7Chrvaq-E6QMggKslzeYRvgadiPL1CobFubnrZ6irB_E-vPw%3D&amp;w=5e3b3924295ed06bb8e881b3&amp;c=b_662a813c52887e4fbb8bc040&amp;l=en-US&amp;s=qyFysMomdZSSSJmGxpiWI7K1cuA%3D"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LibreOffice/24.2.1.2$Windows_X86_64 LibreOffice_project/db4def46b0453cc22e2d0305797cf981b68ef5ac</Application>
  <AppVersion>15.0000</AppVersion>
  <Pages>3</Pages>
  <Words>275</Words>
  <Characters>1296</Characters>
  <CharactersWithSpaces>1553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2024-05-04T03:29:00Z</dcterms:created>
  <dc:creator>Christopher Stolworthy</dc:creator>
  <dc:description/>
  <dc:language>en-US</dc:language>
  <cp:lastModifiedBy/>
  <dcterms:modified xsi:type="dcterms:W3CDTF">2024-05-06T08:22:26Z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